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2541">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南京中医药大学本专科生发表学术论文</w:t>
      </w:r>
    </w:p>
    <w:p w14:paraId="6F6C1605">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版面费报销规定</w:t>
      </w:r>
    </w:p>
    <w:p w14:paraId="54C2A153">
      <w:pPr>
        <w:spacing w:line="360" w:lineRule="auto"/>
        <w:jc w:val="center"/>
        <w:rPr>
          <w:rFonts w:ascii="黑体" w:hAnsi="黑体" w:eastAsia="黑体"/>
          <w:b/>
          <w:bCs/>
          <w:color w:val="000000"/>
          <w:spacing w:val="-2"/>
          <w:sz w:val="32"/>
          <w:szCs w:val="32"/>
        </w:rPr>
      </w:pPr>
    </w:p>
    <w:p w14:paraId="03E901BE">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14:paraId="564F064A">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14:paraId="1E176848">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14:paraId="57CDDD3B">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14:paraId="662A307C">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14:paraId="62DD0A4F">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14:paraId="5B3C33D0">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14:paraId="1C3217A2">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14:paraId="5B9E52E1">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（一）中文核心期刊（以最新版北图中文核心期刊目录为准）、南京大学CSSCI来源刊物（含扩展版）或SCI收录论文予以全额报销</w:t>
      </w:r>
      <w:r>
        <w:rPr>
          <w:rFonts w:hint="eastAsia" w:ascii="仿宋" w:hAnsi="仿宋" w:eastAsia="仿宋" w:cs="仿宋"/>
          <w:color w:val="000000"/>
          <w:spacing w:val="-2"/>
          <w:sz w:val="32"/>
          <w:szCs w:val="32"/>
          <w:lang w:eastAsia="zh-CN"/>
        </w:rPr>
        <w:t>（</w:t>
      </w:r>
      <w:r>
        <w:rPr>
          <w:rFonts w:hint="eastAsia" w:ascii="仿宋" w:hAnsi="仿宋" w:eastAsia="仿宋" w:cs="仿宋"/>
          <w:color w:val="000000"/>
          <w:spacing w:val="-2"/>
          <w:sz w:val="32"/>
          <w:szCs w:val="32"/>
          <w:lang w:val="en-US" w:eastAsia="zh-CN"/>
        </w:rPr>
        <w:t>限中文）,其中以英文发表的核心期刊论文报销最高金额为一万元人民币</w:t>
      </w:r>
      <w:r>
        <w:rPr>
          <w:rFonts w:hint="eastAsia" w:ascii="仿宋" w:hAnsi="仿宋" w:eastAsia="仿宋" w:cs="仿宋"/>
          <w:color w:val="000000"/>
          <w:spacing w:val="-2"/>
          <w:sz w:val="32"/>
          <w:szCs w:val="32"/>
        </w:rPr>
        <w:t>。</w:t>
      </w:r>
    </w:p>
    <w:p w14:paraId="647D5FA8">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14:paraId="62B80495">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14:paraId="663E2B8E">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14:paraId="2D66E5E5">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14:paraId="004AA267">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1、学生将《南京中医药大学本专科生发表学术论文版面费报销申请表》（见附件1）、期刊原件、期刊封面、目录页及论文页复印件交所在学院审核。</w:t>
      </w:r>
    </w:p>
    <w:p w14:paraId="009CEE72">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p>
    <w:p w14:paraId="36F45045">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14:paraId="60CCB73D">
      <w:pPr>
        <w:ind w:firstLine="635" w:firstLineChars="200"/>
      </w:pPr>
      <w:r>
        <w:rPr>
          <w:rFonts w:hint="eastAsia" w:ascii="仿宋" w:hAnsi="仿宋" w:eastAsia="仿宋" w:cs="仿宋"/>
          <w:b/>
          <w:color w:val="000000"/>
          <w:spacing w:val="-2"/>
          <w:sz w:val="32"/>
          <w:szCs w:val="32"/>
        </w:rPr>
        <w:t>六、本规定自公布之日起施行。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F57EF-E055-4CE0-A2A7-FCC8ED21F0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360376-8322-443D-97D1-3549AE847BBE}"/>
  </w:font>
  <w:font w:name="方正小标宋简体">
    <w:panose1 w:val="02000000000000000000"/>
    <w:charset w:val="86"/>
    <w:family w:val="auto"/>
    <w:pitch w:val="default"/>
    <w:sig w:usb0="00000001" w:usb1="08000000" w:usb2="00000000" w:usb3="00000000" w:csb0="00040000" w:csb1="00000000"/>
    <w:embedRegular r:id="rId3" w:fontKey="{FD6C8ED7-786F-4933-98A9-BB83BDAFCC8C}"/>
  </w:font>
  <w:font w:name="仿宋">
    <w:panose1 w:val="02010609060101010101"/>
    <w:charset w:val="86"/>
    <w:family w:val="modern"/>
    <w:pitch w:val="default"/>
    <w:sig w:usb0="800002BF" w:usb1="38CF7CFA" w:usb2="00000016" w:usb3="00000000" w:csb0="00040001" w:csb1="00000000"/>
    <w:embedRegular r:id="rId4" w:fontKey="{CA3635CF-2B85-4F29-BD09-973F777388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2CB722B4"/>
    <w:rsid w:val="37201C53"/>
    <w:rsid w:val="55B20369"/>
    <w:rsid w:val="60E74817"/>
    <w:rsid w:val="7386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1141</Characters>
  <Lines>9</Lines>
  <Paragraphs>2</Paragraphs>
  <TotalTime>12</TotalTime>
  <ScaleCrop>false</ScaleCrop>
  <LinksUpToDate>false</LinksUpToDate>
  <CharactersWithSpaces>1141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随风飞羊</dc:creator>
  <cp:lastModifiedBy>菜菜</cp:lastModifiedBy>
  <cp:lastPrinted>2022-01-07T02:34:00Z</cp:lastPrinted>
  <dcterms:modified xsi:type="dcterms:W3CDTF">2024-12-02T03:43:52Z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D83B3CAF74124DCA81C67A6A0E264C46</vt:lpwstr>
  </property>
</Properties>
</file>