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25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高山仰止，景行行止</w:t>
      </w:r>
    </w:p>
    <w:p w14:paraId="10F27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——**同学校长特别奖之“**”奖申报材料</w:t>
      </w:r>
    </w:p>
    <w:p w14:paraId="75092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 w14:paraId="5A1CD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**，女，江苏南京人，来自**学院**班。曾多次获得国家和校级各类奖项，被海内外机构评为“优秀志愿者”，在国内外核心期刊以第一作者投稿或发表学术论文多篇。</w:t>
      </w:r>
    </w:p>
    <w:p w14:paraId="63443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一、敏而好学求真知</w:t>
      </w:r>
    </w:p>
    <w:p w14:paraId="292A0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高中时，救死扶伤的医药事业已在她的心底播下种子，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28"/>
          <w:szCs w:val="28"/>
        </w:rPr>
        <w:t>秉持着对传统中医药文化的热爱，她坚定地选择了南京中医药大学**专业学习。正是坚定的选择，让她愈来愈热爱中医药事业，求知若渴地学习和实践，期盼着自己的学有所成能够报答师长，回馈社会。在校期间，她学习勤勉，成绩一直稳定在专业前列，不辜负父母和老师的培养。获人民奖学金一、二、三等奖，费孝通立德奖学金等荣誉。她深知想要让中医药走向世界，学好英语是必要的，先后一次性高分通过了英语四六级（四级：606，六级：575），参加校英语演讲大赛获二等奖，全国大学生英语能力竞赛（NECCS）获二等奖。此外，还取得计算机一级优秀、普通话二级甲等证书。上学年以4.015的绩点位列专业前4.3%，德智体全面发展的她获得校“三好学生”的称号。本学期也以综合排名4/116顺利获得保研资格。</w:t>
      </w:r>
    </w:p>
    <w:p w14:paraId="14C34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二、乘风破浪钻学术</w:t>
      </w:r>
    </w:p>
    <w:p w14:paraId="61B3F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她高中时就曾流连于南师附中的院士墙下，憧憬着科研梦想，怀揣着为我国创制新药、拯救患者的崇高理想，她大学期间坚定地踏上了科研之路。大一时即主持一项实训项目《三棱新成分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Sparstolonin B抑制TLR2/TLR4二聚体形成治疗脑出血创新药物基础研究》，现已顺利结题，一篇文章《ComparativestudiesofanticoagulanteffectandchemicalprofilingofChinesemedicine“San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Leng”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from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two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plants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of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different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families》在投。大二时她参与本导生计划，在导师的鼓励和指导下，她从收集文献到撰写到绘图到投稿再到修回，都单枪匹马独立完成。今年六月，这篇她作为第一作者发表的文章已经刊登在国内核心期刊《中国微生态学杂志》上。大三上，又独立撰写一篇英文综述，投稿SCI源期刊《Journal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of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Ethnopharmacology》。大三下她加入了老师课题组，参与部分工作，一篇共同一作的文章《Effect of exposure to deltamethrin on the bufadienolideprofiles in Bufo bufo gargarizans venom determined by ultra-performance liquidchromatography-triple quadrupole mass spectrometry》也已投稿至SCI源期刊《RSC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Advances》。在刚过去的九月，她以小组复试第一名的成绩（93.5分）被中国医学科学院录取为直博生。</w:t>
      </w:r>
    </w:p>
    <w:p w14:paraId="2F358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三、细雨润物修德行</w:t>
      </w:r>
    </w:p>
    <w:p w14:paraId="23C17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在校园里，她友爱同学，尊敬师长。平日总是耐心给予周围人力所能及的帮助，常特地上门为其他同学答疑。本学期也报名参加党员和入党积极分子帮扶活动，辅导后进学生晚自习。宿舍生活中，她讲卫生爱整洁，认真负责包干区域的卫生，积极带动宿舍的学习氛围，舍友间团结友爱共同进步，包括她在内的三人成绩均名列班级前五并获得推免资格，“百佳宿舍”的荣誉证书也因此挂在她们宿舍的墙上。她个人也凭借良好的群众基础，获得校“优秀共青团员”的称号。家庭生活中，她也一直感恩父母，承担着一定的家务。一月，爷爷手术出院后住进家中，她主动让出单人间，自己睡沙发，悉心照料。孝亲敬长是为人基本之道，人首先立于家庭，而后才能立于社会。她踏实践行着对家庭的责任和义务，懂得感恩养育自己的长辈。</w:t>
      </w:r>
    </w:p>
    <w:p w14:paraId="31A9E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四、身体力行泽众人</w:t>
      </w:r>
    </w:p>
    <w:p w14:paraId="15957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**同学一直都热心公益和实践。大学以来，参与了大大小小不少的志愿活动，先后参加马尔代夫环保志愿者、南艺美术馆志愿者、埃及海外志愿者、校招聘会志愿者、社区环保志愿者、湖南路养老中心志愿者、江苏省中药资源普查志愿者等多项志愿者活动及项目。大二暑期，担任金陵制药有限公司QA部门实习生。每项工作都竭尽所能地完成，给社区儿童、孤寡老人、外国友人、单位同事等带来温暖。在社区环保志愿活动中，她为小学生们讲解垃圾分类、环境保护的知识，还被凤栖苑社区评为“优秀青年志愿者”。数个周末参加南艺美术馆志愿者，维护展馆秩序，保护展品完好。她作为一名字幕组成员，牺牲业余时间，无偿为大家翻译了许多英文资讯视频。大一时她通过层层面试成为一名AIESEC海外志愿者，远赴埃及，在一个多月的时间内，开设讲堂，帮助当地学生进行职业规划，提升软实力，同时还向各国人推介了中华文化和中医药产业，让更多人接纳和认可中医药。大二暑假，顶着烈日炎炎，她跟随江苏中药资源普查办的老师和专家们，深入南京周边山野地带，帮助记录植物的生境、地理位置等数据，采集药材植物，制作标本。大三，逢周末回家她常会抽空去湖南路养老中心探望老人们，帮他们读读报纸，打扫卫生，陪他们聊聊天，帮他们理发剪指甲梳头，还会在家里准备一些可口的菜带去给老人们加餐，让他们在缺少子女陪伴的情况下，多感受一点温暖。虽然是微不足道的小事，但多少给老人们的生活增添了一抹亮色。她也呼吁身边亲朋，力所能及地关爱贫困家庭、孤寡老人、孤儿、残疾人们。正是一如既往的奉献精神和事必躬行的实践作风，让她多次被海内外机构评为“优秀志愿者”，也因此获得了2017-2018年度费孝通立德奖学金。一直以来，她慎独自省，从学业、科研、社会实践、志愿服务、生活等各方面严以律己，志存高远。但行好事，莫问前程，她把知行合一的精神传播给众人，用踏实的行动感染着众人，力图为社会美好的明天贡献自己的一份光和热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B1EF5">
    <w:pPr>
      <w:pStyle w:val="3"/>
      <w:rPr>
        <w:b/>
        <w:bCs/>
        <w:color w:val="C00000"/>
        <w:sz w:val="24"/>
        <w:szCs w:val="40"/>
      </w:rPr>
    </w:pPr>
    <w:r>
      <w:rPr>
        <w:b/>
        <w:bCs/>
        <w:color w:val="C00000"/>
        <w:sz w:val="24"/>
        <w:szCs w:val="40"/>
      </w:rPr>
      <w:t>格式</w:t>
    </w:r>
    <w:r>
      <w:rPr>
        <w:rFonts w:hint="eastAsia"/>
        <w:b/>
        <w:bCs/>
        <w:color w:val="C00000"/>
        <w:sz w:val="24"/>
        <w:szCs w:val="40"/>
        <w:lang w:val="en-US" w:eastAsia="zh-CN"/>
      </w:rPr>
      <w:t>要求</w:t>
    </w:r>
    <w:r>
      <w:rPr>
        <w:b/>
        <w:bCs/>
        <w:color w:val="C00000"/>
        <w:sz w:val="24"/>
        <w:szCs w:val="40"/>
      </w:rPr>
      <w:t>：</w:t>
    </w:r>
  </w:p>
  <w:p w14:paraId="77223AEF">
    <w:pPr>
      <w:pStyle w:val="3"/>
      <w:rPr>
        <w:b/>
        <w:bCs/>
        <w:color w:val="C00000"/>
        <w:sz w:val="24"/>
        <w:szCs w:val="40"/>
      </w:rPr>
    </w:pPr>
    <w:r>
      <w:rPr>
        <w:rFonts w:hint="eastAsia"/>
        <w:b/>
        <w:bCs/>
        <w:color w:val="C00000"/>
        <w:sz w:val="24"/>
        <w:szCs w:val="40"/>
        <w:lang w:val="en-US" w:eastAsia="zh-CN"/>
      </w:rPr>
      <w:t>1.大</w:t>
    </w:r>
    <w:r>
      <w:rPr>
        <w:b/>
        <w:bCs/>
        <w:color w:val="C00000"/>
        <w:sz w:val="24"/>
        <w:szCs w:val="40"/>
      </w:rPr>
      <w:t>标题，方正小标宋</w:t>
    </w:r>
    <w:r>
      <w:rPr>
        <w:rFonts w:hint="eastAsia"/>
        <w:b/>
        <w:bCs/>
        <w:color w:val="C00000"/>
        <w:sz w:val="24"/>
        <w:szCs w:val="40"/>
        <w:lang w:val="en-US" w:eastAsia="zh-CN"/>
      </w:rPr>
      <w:t>_GBK 4</w:t>
    </w:r>
    <w:r>
      <w:rPr>
        <w:b/>
        <w:bCs/>
        <w:color w:val="C00000"/>
        <w:sz w:val="24"/>
        <w:szCs w:val="40"/>
      </w:rPr>
      <w:t>号，加粗</w:t>
    </w:r>
    <w:r>
      <w:rPr>
        <w:rFonts w:hint="eastAsia"/>
        <w:b/>
        <w:bCs/>
        <w:color w:val="C00000"/>
        <w:sz w:val="24"/>
        <w:szCs w:val="40"/>
        <w:lang w:eastAsia="zh-CN"/>
      </w:rPr>
      <w:t>，</w:t>
    </w:r>
    <w:r>
      <w:rPr>
        <w:rFonts w:hint="eastAsia"/>
        <w:b/>
        <w:bCs/>
        <w:color w:val="C00000"/>
        <w:sz w:val="24"/>
        <w:szCs w:val="40"/>
        <w:lang w:val="en-US" w:eastAsia="zh-CN"/>
      </w:rPr>
      <w:t>行间距固定值34磅</w:t>
    </w:r>
    <w:r>
      <w:rPr>
        <w:b/>
        <w:bCs/>
        <w:color w:val="C00000"/>
        <w:sz w:val="24"/>
        <w:szCs w:val="40"/>
      </w:rPr>
      <w:t>；</w:t>
    </w:r>
  </w:p>
  <w:p w14:paraId="0A92CFC4">
    <w:pPr>
      <w:pStyle w:val="3"/>
      <w:rPr>
        <w:rFonts w:hint="eastAsia"/>
        <w:b/>
        <w:bCs/>
        <w:color w:val="C00000"/>
        <w:sz w:val="24"/>
        <w:szCs w:val="40"/>
        <w:lang w:val="en-US" w:eastAsia="zh-CN"/>
      </w:rPr>
    </w:pPr>
    <w:r>
      <w:rPr>
        <w:rFonts w:hint="eastAsia"/>
        <w:b/>
        <w:bCs/>
        <w:color w:val="C00000"/>
        <w:sz w:val="24"/>
        <w:szCs w:val="40"/>
        <w:lang w:val="en-US" w:eastAsia="zh-CN"/>
      </w:rPr>
      <w:t>2.副标题，方正仿宋_GBK，四号，行间距固定值28磅；</w:t>
    </w:r>
  </w:p>
  <w:p w14:paraId="3E0B8A63">
    <w:pPr>
      <w:pStyle w:val="3"/>
      <w:rPr>
        <w:b/>
        <w:bCs/>
        <w:color w:val="C00000"/>
        <w:sz w:val="24"/>
        <w:szCs w:val="40"/>
      </w:rPr>
    </w:pPr>
    <w:r>
      <w:rPr>
        <w:rFonts w:hint="eastAsia"/>
        <w:b/>
        <w:bCs/>
        <w:color w:val="C00000"/>
        <w:sz w:val="24"/>
        <w:szCs w:val="40"/>
        <w:lang w:val="en-US" w:eastAsia="zh-CN"/>
      </w:rPr>
      <w:t>3.</w:t>
    </w:r>
    <w:r>
      <w:rPr>
        <w:b/>
        <w:bCs/>
        <w:color w:val="C00000"/>
        <w:sz w:val="24"/>
        <w:szCs w:val="40"/>
      </w:rPr>
      <w:t>一级标题，方正黑体</w:t>
    </w:r>
    <w:r>
      <w:rPr>
        <w:rFonts w:hint="eastAsia"/>
        <w:b/>
        <w:bCs/>
        <w:color w:val="C00000"/>
        <w:sz w:val="24"/>
        <w:szCs w:val="40"/>
        <w:lang w:val="en-US" w:eastAsia="zh-CN"/>
      </w:rPr>
      <w:t>_GBK四号</w:t>
    </w:r>
    <w:r>
      <w:rPr>
        <w:b/>
        <w:bCs/>
        <w:color w:val="C00000"/>
        <w:sz w:val="24"/>
        <w:szCs w:val="40"/>
      </w:rPr>
      <w:t>，行间距固定值28磅；</w:t>
    </w:r>
  </w:p>
  <w:p w14:paraId="7602164E">
    <w:pPr>
      <w:pStyle w:val="3"/>
      <w:rPr>
        <w:b/>
        <w:bCs/>
        <w:color w:val="C00000"/>
        <w:sz w:val="24"/>
        <w:szCs w:val="40"/>
      </w:rPr>
    </w:pPr>
    <w:r>
      <w:rPr>
        <w:rFonts w:hint="eastAsia"/>
        <w:b/>
        <w:bCs/>
        <w:color w:val="C00000"/>
        <w:sz w:val="24"/>
        <w:szCs w:val="40"/>
        <w:lang w:val="en-US" w:eastAsia="zh-CN"/>
      </w:rPr>
      <w:t>4.</w:t>
    </w:r>
    <w:r>
      <w:rPr>
        <w:b/>
        <w:bCs/>
        <w:color w:val="C00000"/>
        <w:sz w:val="24"/>
        <w:szCs w:val="40"/>
      </w:rPr>
      <w:t>二级标题，方正楷体</w:t>
    </w:r>
    <w:r>
      <w:rPr>
        <w:rFonts w:hint="eastAsia"/>
        <w:b/>
        <w:bCs/>
        <w:color w:val="C00000"/>
        <w:sz w:val="24"/>
        <w:szCs w:val="40"/>
        <w:lang w:val="en-US" w:eastAsia="zh-CN"/>
      </w:rPr>
      <w:t>_GBK四号</w:t>
    </w:r>
    <w:r>
      <w:rPr>
        <w:b/>
        <w:bCs/>
        <w:color w:val="C00000"/>
        <w:sz w:val="24"/>
        <w:szCs w:val="40"/>
      </w:rPr>
      <w:t>，行间距固定值28磅；</w:t>
    </w:r>
  </w:p>
  <w:p w14:paraId="59FD857C">
    <w:pPr>
      <w:pStyle w:val="3"/>
      <w:rPr>
        <w:b/>
        <w:bCs/>
        <w:color w:val="C00000"/>
        <w:sz w:val="24"/>
        <w:szCs w:val="40"/>
      </w:rPr>
    </w:pPr>
    <w:r>
      <w:rPr>
        <w:rFonts w:hint="eastAsia"/>
        <w:b/>
        <w:bCs/>
        <w:color w:val="C00000"/>
        <w:sz w:val="24"/>
        <w:szCs w:val="40"/>
        <w:lang w:val="en-US" w:eastAsia="zh-CN"/>
      </w:rPr>
      <w:t>5.</w:t>
    </w:r>
    <w:r>
      <w:rPr>
        <w:b/>
        <w:bCs/>
        <w:color w:val="C00000"/>
        <w:sz w:val="24"/>
        <w:szCs w:val="40"/>
      </w:rPr>
      <w:t>正文，</w:t>
    </w:r>
    <w:r>
      <w:rPr>
        <w:rFonts w:hint="eastAsia"/>
        <w:b/>
        <w:bCs/>
        <w:color w:val="C00000"/>
        <w:sz w:val="24"/>
        <w:szCs w:val="40"/>
        <w:lang w:val="en-US" w:eastAsia="zh-CN"/>
      </w:rPr>
      <w:t>方正仿宋_GBK，四号</w:t>
    </w:r>
    <w:r>
      <w:rPr>
        <w:b/>
        <w:bCs/>
        <w:color w:val="C00000"/>
        <w:sz w:val="24"/>
        <w:szCs w:val="40"/>
      </w:rPr>
      <w:t>，行间距固定值28磅。</w:t>
    </w:r>
  </w:p>
  <w:p w14:paraId="25B224EA">
    <w:pPr>
      <w:pStyle w:val="3"/>
      <w:rPr>
        <w:b/>
        <w:bCs/>
        <w:color w:val="C00000"/>
        <w:sz w:val="24"/>
        <w:szCs w:val="40"/>
      </w:rPr>
    </w:pPr>
    <w:r>
      <w:rPr>
        <w:b/>
        <w:bCs/>
        <w:color w:val="C00000"/>
        <w:sz w:val="24"/>
        <w:szCs w:val="40"/>
      </w:rPr>
      <w:t>全文第三人称</w:t>
    </w:r>
    <w:r>
      <w:rPr>
        <w:rFonts w:hint="eastAsia"/>
        <w:b/>
        <w:bCs/>
        <w:color w:val="C00000"/>
        <w:sz w:val="24"/>
        <w:szCs w:val="40"/>
        <w:lang w:eastAsia="zh-CN"/>
      </w:rPr>
      <w:t>，</w:t>
    </w:r>
    <w:r>
      <w:rPr>
        <w:rFonts w:hint="eastAsia"/>
        <w:b/>
        <w:bCs/>
        <w:color w:val="C00000"/>
        <w:sz w:val="24"/>
        <w:szCs w:val="40"/>
        <w:lang w:val="en-US" w:eastAsia="zh-CN"/>
      </w:rPr>
      <w:t>字数控制在1500字以内</w:t>
    </w:r>
    <w:r>
      <w:rPr>
        <w:b/>
        <w:bCs/>
        <w:color w:val="C00000"/>
        <w:sz w:val="24"/>
        <w:szCs w:val="40"/>
      </w:rPr>
      <w:t>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96B5C"/>
    <w:rsid w:val="1B096B5C"/>
    <w:rsid w:val="6B086362"/>
    <w:rsid w:val="6EF7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2026-11-02T06:17:00Z</dcterms:created>
  <dc:creator>ishqiyar</dc:creator>
  <cp:lastModifiedBy>ishqiyar</cp:lastModifiedBy>
  <dcterms:modified xsi:type="dcterms:W3CDTF">2026-11-02T06:50:52Z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9E1A71926C794D54B39D40D60D1DA23C_11</vt:lpwstr>
  </property>
  <property fmtid="{D5CDD505-2E9C-101B-9397-08002B2CF9AE}" pid="4" name="KSOTemplateDocerSaveRecord">
    <vt:lpwstr>eyJoZGlkIjoiNThiOTMzMzM2OTM1YzJhZTEzODZhOTY1ZDUzZjI0MTQiLCJ1c2VySWQiOiI0MDQ2MDIwNDYifQ==</vt:lpwstr>
  </property>
</Properties>
</file>